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17" w:rsidRDefault="006306A8" w:rsidP="009D2A3A">
      <w:pPr>
        <w:spacing w:after="120" w:line="288" w:lineRule="auto"/>
        <w:jc w:val="center"/>
        <w:rPr>
          <w:rFonts w:ascii="Consolas" w:eastAsia="MingLiU" w:hAnsi="Consolas" w:cs="Consolas"/>
          <w:b/>
          <w:bCs/>
          <w:color w:val="000000"/>
          <w:szCs w:val="20"/>
          <w:u w:val="words"/>
        </w:rPr>
      </w:pPr>
      <w:r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>D</w:t>
      </w:r>
      <w:r w:rsidR="00FB4660"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 xml:space="preserve">  </w:t>
      </w:r>
      <w:r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>E</w:t>
      </w:r>
      <w:r w:rsidR="00FB4660"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 xml:space="preserve">  </w:t>
      </w:r>
      <w:r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>S</w:t>
      </w:r>
      <w:r w:rsidR="00FB4660"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 xml:space="preserve">  </w:t>
      </w:r>
      <w:r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>P</w:t>
      </w:r>
      <w:r w:rsidR="00FB4660"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 xml:space="preserve">  </w:t>
      </w:r>
      <w:r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>A</w:t>
      </w:r>
      <w:r w:rsidR="00FB4660"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 xml:space="preserve">  </w:t>
      </w:r>
      <w:r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>C</w:t>
      </w:r>
      <w:r w:rsidR="00FB4660"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 xml:space="preserve">  </w:t>
      </w:r>
      <w:r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>H</w:t>
      </w:r>
      <w:r w:rsidR="00FB4660"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 xml:space="preserve">  </w:t>
      </w:r>
      <w:r w:rsidRPr="009D2A3A">
        <w:rPr>
          <w:rFonts w:ascii="Consolas" w:eastAsia="MingLiU" w:hAnsi="Consolas" w:cs="Consolas"/>
          <w:b/>
          <w:bCs/>
          <w:color w:val="000000"/>
          <w:szCs w:val="20"/>
          <w:u w:val="words"/>
        </w:rPr>
        <w:t>O</w:t>
      </w:r>
    </w:p>
    <w:p w:rsidR="00D064E1" w:rsidRDefault="00D064E1" w:rsidP="009D2A3A">
      <w:pPr>
        <w:spacing w:after="0" w:line="288" w:lineRule="auto"/>
        <w:jc w:val="both"/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</w:pPr>
      <w:bookmarkStart w:id="0" w:name="_GoBack"/>
      <w:bookmarkEnd w:id="0"/>
    </w:p>
    <w:p w:rsidR="00A96074" w:rsidRDefault="00A96074" w:rsidP="009D2A3A">
      <w:pPr>
        <w:spacing w:after="0" w:line="288" w:lineRule="auto"/>
        <w:jc w:val="both"/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</w:pPr>
      <w:r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 xml:space="preserve">Processo Administrativo Nº </w:t>
      </w:r>
      <w:r w:rsidR="001E0879"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227/2024</w:t>
      </w:r>
    </w:p>
    <w:p w:rsidR="00A96074" w:rsidRDefault="00A96074" w:rsidP="009D2A3A">
      <w:pPr>
        <w:spacing w:after="0" w:line="288" w:lineRule="auto"/>
        <w:jc w:val="both"/>
        <w:rPr>
          <w:rFonts w:ascii="Consolas" w:eastAsia="MingLiU" w:hAnsi="Consolas" w:cs="Consolas"/>
          <w:b/>
          <w:color w:val="000000"/>
          <w:sz w:val="20"/>
          <w:szCs w:val="20"/>
        </w:rPr>
      </w:pPr>
      <w:r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Processo Licitatório</w:t>
      </w:r>
      <w:r>
        <w:rPr>
          <w:rFonts w:ascii="Consolas" w:eastAsia="MingLiU" w:hAnsi="Consolas" w:cs="Consolas"/>
          <w:b/>
          <w:color w:val="000000"/>
          <w:sz w:val="20"/>
          <w:szCs w:val="20"/>
        </w:rPr>
        <w:t xml:space="preserve"> nº</w:t>
      </w:r>
      <w:r w:rsidR="003A0EB9">
        <w:rPr>
          <w:rFonts w:ascii="Consolas" w:eastAsia="MingLiU" w:hAnsi="Consolas" w:cs="Consolas"/>
          <w:b/>
          <w:color w:val="000000"/>
          <w:sz w:val="20"/>
          <w:szCs w:val="20"/>
        </w:rPr>
        <w:t xml:space="preserve"> </w:t>
      </w:r>
      <w:r w:rsidR="001E0879">
        <w:rPr>
          <w:rFonts w:ascii="Consolas" w:eastAsia="MingLiU" w:hAnsi="Consolas" w:cs="Consolas"/>
          <w:b/>
          <w:color w:val="000000"/>
          <w:sz w:val="20"/>
          <w:szCs w:val="20"/>
        </w:rPr>
        <w:t>07</w:t>
      </w:r>
      <w:r w:rsidR="00D7035D">
        <w:rPr>
          <w:rFonts w:ascii="Consolas" w:eastAsia="MingLiU" w:hAnsi="Consolas" w:cs="Consolas"/>
          <w:b/>
          <w:color w:val="000000"/>
          <w:sz w:val="20"/>
          <w:szCs w:val="20"/>
        </w:rPr>
        <w:t>/2024</w:t>
      </w:r>
    </w:p>
    <w:p w:rsidR="00A96074" w:rsidRDefault="00D7035D" w:rsidP="009D2A3A">
      <w:pPr>
        <w:spacing w:after="0" w:line="288" w:lineRule="auto"/>
        <w:jc w:val="both"/>
        <w:rPr>
          <w:rFonts w:ascii="Consolas" w:eastAsia="MingLiU" w:hAnsi="Consolas" w:cs="Consolas"/>
          <w:b/>
          <w:color w:val="000000"/>
          <w:sz w:val="20"/>
          <w:szCs w:val="20"/>
        </w:rPr>
      </w:pPr>
      <w:r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Pregão Eletrônico</w:t>
      </w:r>
      <w:r w:rsidR="00A96074">
        <w:rPr>
          <w:rFonts w:ascii="Consolas" w:eastAsia="MingLiU" w:hAnsi="Consolas" w:cs="Consolas"/>
          <w:b/>
          <w:color w:val="000000"/>
          <w:sz w:val="20"/>
          <w:szCs w:val="20"/>
        </w:rPr>
        <w:t xml:space="preserve"> nº </w:t>
      </w:r>
      <w:r w:rsidR="001E0879">
        <w:rPr>
          <w:rFonts w:ascii="Consolas" w:eastAsia="MingLiU" w:hAnsi="Consolas" w:cs="Consolas"/>
          <w:b/>
          <w:color w:val="000000"/>
          <w:sz w:val="20"/>
          <w:szCs w:val="20"/>
        </w:rPr>
        <w:t>03</w:t>
      </w:r>
      <w:r>
        <w:rPr>
          <w:rFonts w:ascii="Consolas" w:eastAsia="MingLiU" w:hAnsi="Consolas" w:cs="Consolas"/>
          <w:b/>
          <w:color w:val="000000"/>
          <w:sz w:val="20"/>
          <w:szCs w:val="20"/>
        </w:rPr>
        <w:t>/2024</w:t>
      </w:r>
      <w:r w:rsidR="00A96074">
        <w:rPr>
          <w:rFonts w:ascii="Consolas" w:eastAsia="MingLiU" w:hAnsi="Consolas" w:cs="Consolas"/>
          <w:b/>
          <w:color w:val="000000"/>
          <w:sz w:val="20"/>
          <w:szCs w:val="20"/>
        </w:rPr>
        <w:t>.</w:t>
      </w:r>
    </w:p>
    <w:p w:rsidR="00A96074" w:rsidRPr="001E0879" w:rsidRDefault="00A96074" w:rsidP="001E0879">
      <w:pPr>
        <w:spacing w:after="0" w:line="288" w:lineRule="auto"/>
        <w:jc w:val="both"/>
        <w:rPr>
          <w:rFonts w:ascii="Consolas" w:eastAsia="Calibri" w:hAnsi="Consolas" w:cs="Consolas"/>
          <w:b/>
          <w:color w:val="000000"/>
          <w:sz w:val="20"/>
          <w:szCs w:val="20"/>
        </w:rPr>
      </w:pPr>
      <w:r>
        <w:rPr>
          <w:rFonts w:ascii="Consolas" w:eastAsia="MingLiU" w:hAnsi="Consolas" w:cs="Consolas"/>
          <w:b/>
          <w:color w:val="000000"/>
          <w:sz w:val="20"/>
          <w:szCs w:val="20"/>
          <w:u w:val="words"/>
        </w:rPr>
        <w:t>Objeto</w:t>
      </w:r>
      <w:r>
        <w:rPr>
          <w:rFonts w:ascii="Consolas" w:eastAsia="MingLiU" w:hAnsi="Consolas" w:cs="Consolas"/>
          <w:b/>
          <w:color w:val="000000"/>
          <w:sz w:val="20"/>
          <w:szCs w:val="20"/>
        </w:rPr>
        <w:t xml:space="preserve">: </w:t>
      </w:r>
      <w:r w:rsidR="001E0879" w:rsidRPr="001E0879">
        <w:rPr>
          <w:rFonts w:ascii="Consolas" w:hAnsi="Consolas" w:cs="Consolas"/>
          <w:b/>
          <w:sz w:val="20"/>
          <w:szCs w:val="20"/>
        </w:rPr>
        <w:t>Aquisição de insumos e equipamentos destinados às Unidades Básicas de Saúde e ao SAMU. Visando assegurar a continuidade dos atendimentos aos pacientes evitando interrupções por falta de recursos necessários</w:t>
      </w:r>
      <w:r w:rsidRPr="001E0879">
        <w:rPr>
          <w:rFonts w:ascii="Consolas" w:eastAsia="Calibri" w:hAnsi="Consolas" w:cs="Consolas"/>
          <w:b/>
          <w:color w:val="000000"/>
          <w:sz w:val="20"/>
          <w:szCs w:val="20"/>
        </w:rPr>
        <w:t>.</w:t>
      </w:r>
    </w:p>
    <w:p w:rsidR="00A96074" w:rsidRDefault="00A96074" w:rsidP="009D2A3A">
      <w:pPr>
        <w:spacing w:after="0" w:line="288" w:lineRule="auto"/>
        <w:rPr>
          <w:rFonts w:ascii="Consolas" w:eastAsia="Calibri" w:hAnsi="Consolas" w:cs="Consolas"/>
          <w:b/>
          <w:color w:val="000000"/>
          <w:sz w:val="20"/>
          <w:szCs w:val="20"/>
          <w:u w:val="words"/>
        </w:rPr>
      </w:pPr>
    </w:p>
    <w:p w:rsidR="00D7035D" w:rsidRDefault="00077A37" w:rsidP="00D7035D">
      <w:pPr>
        <w:spacing w:after="0" w:line="288" w:lineRule="auto"/>
        <w:rPr>
          <w:rFonts w:ascii="Consolas" w:eastAsia="Calibri" w:hAnsi="Consolas" w:cs="Consolas"/>
          <w:b/>
          <w:color w:val="000000"/>
          <w:sz w:val="20"/>
          <w:szCs w:val="20"/>
        </w:rPr>
      </w:pPr>
      <w:r>
        <w:rPr>
          <w:rFonts w:ascii="Consolas" w:eastAsia="Calibri" w:hAnsi="Consolas" w:cs="Consolas"/>
          <w:b/>
          <w:color w:val="000000"/>
          <w:sz w:val="20"/>
          <w:szCs w:val="20"/>
          <w:u w:val="words"/>
        </w:rPr>
        <w:t>Interessada</w:t>
      </w:r>
      <w:r w:rsidR="006874D2" w:rsidRPr="00077A37">
        <w:rPr>
          <w:rFonts w:ascii="Consolas" w:eastAsia="Calibri" w:hAnsi="Consolas" w:cs="Consolas"/>
          <w:b/>
          <w:color w:val="000000"/>
          <w:sz w:val="20"/>
          <w:szCs w:val="20"/>
        </w:rPr>
        <w:t xml:space="preserve">: </w:t>
      </w:r>
    </w:p>
    <w:p w:rsidR="000253D8" w:rsidRPr="00D7035D" w:rsidRDefault="001E0879" w:rsidP="00D7035D">
      <w:pPr>
        <w:spacing w:after="0" w:line="288" w:lineRule="auto"/>
        <w:rPr>
          <w:rFonts w:ascii="Consolas" w:eastAsia="Calibri" w:hAnsi="Consolas" w:cs="Consolas"/>
          <w:color w:val="000000"/>
          <w:sz w:val="20"/>
          <w:szCs w:val="20"/>
        </w:rPr>
      </w:pPr>
      <w:r>
        <w:rPr>
          <w:rFonts w:ascii="Consolas" w:eastAsia="Calibri" w:hAnsi="Consolas" w:cs="Consolas"/>
          <w:color w:val="000000"/>
          <w:sz w:val="20"/>
          <w:szCs w:val="20"/>
        </w:rPr>
        <w:t>SMARTMED REPRESENTAÇÃO E COMÉRCIO DE PRODUTOS MÉDICOS E HOSPITALARES LTDA.</w:t>
      </w:r>
    </w:p>
    <w:p w:rsidR="00CA7B19" w:rsidRPr="000253D8" w:rsidRDefault="00CA7B19" w:rsidP="009D2A3A">
      <w:pPr>
        <w:spacing w:after="0" w:line="288" w:lineRule="auto"/>
        <w:rPr>
          <w:rFonts w:ascii="Consolas" w:eastAsia="Calibri" w:hAnsi="Consolas" w:cs="Consolas"/>
          <w:color w:val="000000"/>
          <w:sz w:val="20"/>
          <w:szCs w:val="20"/>
        </w:rPr>
      </w:pPr>
      <w:r w:rsidRPr="000253D8">
        <w:rPr>
          <w:rFonts w:ascii="Consolas" w:eastAsia="Calibri" w:hAnsi="Consolas" w:cs="Consolas"/>
          <w:color w:val="000000"/>
          <w:sz w:val="20"/>
          <w:szCs w:val="20"/>
        </w:rPr>
        <w:t xml:space="preserve">CNPJ </w:t>
      </w:r>
      <w:r w:rsidR="001E0879">
        <w:rPr>
          <w:rFonts w:ascii="Consolas" w:eastAsia="Calibri" w:hAnsi="Consolas" w:cs="Consolas"/>
          <w:color w:val="000000"/>
          <w:sz w:val="20"/>
          <w:szCs w:val="20"/>
        </w:rPr>
        <w:t>24.789.180/0001-09</w:t>
      </w:r>
    </w:p>
    <w:p w:rsidR="006874D2" w:rsidRPr="00077A37" w:rsidRDefault="006874D2" w:rsidP="009D2A3A">
      <w:pPr>
        <w:spacing w:after="0" w:line="288" w:lineRule="auto"/>
        <w:rPr>
          <w:rFonts w:ascii="Consolas" w:eastAsia="Calibri" w:hAnsi="Consolas" w:cs="Consolas"/>
          <w:b/>
          <w:color w:val="000000"/>
          <w:sz w:val="20"/>
          <w:szCs w:val="20"/>
          <w:u w:val="single"/>
        </w:rPr>
      </w:pPr>
    </w:p>
    <w:p w:rsidR="006306A8" w:rsidRPr="006874D2" w:rsidRDefault="006306A8" w:rsidP="009D2A3A">
      <w:pPr>
        <w:spacing w:after="120" w:line="288" w:lineRule="auto"/>
        <w:jc w:val="both"/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</w:pP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single"/>
          <w:lang w:val="pt"/>
        </w:rPr>
        <w:t>Relato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  <w:t>:</w:t>
      </w:r>
    </w:p>
    <w:p w:rsidR="00675473" w:rsidRPr="00D7035D" w:rsidRDefault="000253D8" w:rsidP="0070349B">
      <w:pPr>
        <w:spacing w:after="120" w:line="288" w:lineRule="auto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>
        <w:rPr>
          <w:rFonts w:ascii="Consolas" w:eastAsia="MingLiU" w:hAnsi="Consolas" w:cs="Consolas"/>
          <w:color w:val="000000"/>
          <w:sz w:val="20"/>
          <w:szCs w:val="20"/>
          <w:lang w:val="pt"/>
        </w:rPr>
        <w:t>A interessada acima citada</w:t>
      </w:r>
      <w:r w:rsidR="00A03606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apresent</w:t>
      </w:r>
      <w:r>
        <w:rPr>
          <w:rFonts w:ascii="Consolas" w:eastAsia="MingLiU" w:hAnsi="Consolas" w:cs="Consolas"/>
          <w:color w:val="000000"/>
          <w:sz w:val="20"/>
          <w:szCs w:val="20"/>
          <w:lang w:val="pt"/>
        </w:rPr>
        <w:t>ou</w:t>
      </w:r>
      <w:r w:rsidR="00AB5AC9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solicitações</w:t>
      </w:r>
      <w:r w:rsidR="00796A1B"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de esclarecimento</w:t>
      </w:r>
      <w:r w:rsidR="00AB5AC9">
        <w:rPr>
          <w:rFonts w:ascii="Consolas" w:eastAsia="MingLiU" w:hAnsi="Consolas" w:cs="Consolas"/>
          <w:color w:val="000000"/>
          <w:sz w:val="20"/>
          <w:szCs w:val="20"/>
          <w:lang w:val="pt"/>
        </w:rPr>
        <w:t>s:</w:t>
      </w:r>
      <w:r w:rsidR="00D7035D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e</w:t>
      </w:r>
      <w:r w:rsidR="00AB5AC9" w:rsidRPr="00AB5AC9">
        <w:rPr>
          <w:rFonts w:ascii="Consolas" w:eastAsia="MingLiU" w:hAnsi="Consolas" w:cs="Consolas"/>
          <w:color w:val="000000"/>
          <w:sz w:val="20"/>
          <w:szCs w:val="20"/>
          <w:lang w:val="pt"/>
        </w:rPr>
        <w:t>m</w:t>
      </w:r>
      <w:r w:rsidR="0046123E" w:rsidRPr="00AB5AC9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relação </w:t>
      </w:r>
      <w:r w:rsidR="001E0879">
        <w:rPr>
          <w:rFonts w:ascii="Consolas" w:eastAsia="MingLiU" w:hAnsi="Consolas" w:cs="Consolas"/>
          <w:color w:val="000000"/>
          <w:sz w:val="20"/>
          <w:szCs w:val="20"/>
          <w:lang w:val="pt"/>
        </w:rPr>
        <w:t>ao descritivo dos itens 37 e 38; Eletrodo Adulto Adesivo Descartável, Eletrodo Pediátrico Adesivo Descartável, respectivamente; pede-se maiores esclarecimentos quanto em quais desfibriladores serão utilizados e quais as cores dos conectores.</w:t>
      </w:r>
    </w:p>
    <w:p w:rsidR="001E0879" w:rsidRDefault="001E0879" w:rsidP="009D2A3A">
      <w:pPr>
        <w:spacing w:after="120" w:line="288" w:lineRule="auto"/>
        <w:jc w:val="both"/>
        <w:rPr>
          <w:rFonts w:ascii="Consolas" w:eastAsia="MingLiU" w:hAnsi="Consolas" w:cs="Consolas"/>
          <w:b/>
          <w:bCs/>
          <w:color w:val="000000"/>
          <w:sz w:val="20"/>
          <w:szCs w:val="20"/>
          <w:u w:val="single"/>
          <w:lang w:val="pt"/>
        </w:rPr>
      </w:pPr>
    </w:p>
    <w:p w:rsidR="00CB1D1C" w:rsidRPr="00675473" w:rsidRDefault="0070349B" w:rsidP="009D2A3A">
      <w:pPr>
        <w:spacing w:after="120" w:line="288" w:lineRule="auto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>
        <w:rPr>
          <w:rFonts w:ascii="Consolas" w:eastAsia="MingLiU" w:hAnsi="Consolas" w:cs="Consolas"/>
          <w:b/>
          <w:bCs/>
          <w:color w:val="000000"/>
          <w:sz w:val="20"/>
          <w:szCs w:val="20"/>
          <w:u w:val="single"/>
          <w:lang w:val="pt"/>
        </w:rPr>
        <w:t>Decido</w:t>
      </w:r>
      <w:r w:rsidR="00CB1D1C" w:rsidRPr="00675473"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  <w:t>:</w:t>
      </w:r>
    </w:p>
    <w:p w:rsidR="001E0879" w:rsidRPr="00796A1B" w:rsidRDefault="001E0879" w:rsidP="00D064E1">
      <w:pPr>
        <w:spacing w:after="120" w:line="288" w:lineRule="auto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>Suspender o processo licitatório, convertê-lo em diligência e encaminhá-lo ao departamento requisitante para que analise o teor das impugnações e se manifeste a respeito.</w:t>
      </w:r>
    </w:p>
    <w:p w:rsidR="00D064E1" w:rsidRDefault="00D064E1" w:rsidP="00D064E1">
      <w:pPr>
        <w:spacing w:after="120" w:line="288" w:lineRule="auto"/>
        <w:jc w:val="both"/>
        <w:rPr>
          <w:rFonts w:ascii="Consolas" w:eastAsia="MingLiU" w:hAnsi="Consolas" w:cs="Consolas"/>
          <w:b/>
          <w:bCs/>
          <w:color w:val="000000"/>
          <w:sz w:val="20"/>
          <w:szCs w:val="20"/>
          <w:u w:val="single"/>
          <w:lang w:val="pt"/>
        </w:rPr>
      </w:pPr>
    </w:p>
    <w:p w:rsidR="001E0879" w:rsidRPr="006874D2" w:rsidRDefault="001E0879" w:rsidP="00D064E1">
      <w:pPr>
        <w:spacing w:after="120" w:line="288" w:lineRule="auto"/>
        <w:jc w:val="both"/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</w:pP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u w:val="single"/>
          <w:lang w:val="pt"/>
        </w:rPr>
        <w:t>Comunico</w:t>
      </w:r>
      <w:r w:rsidRPr="006874D2">
        <w:rPr>
          <w:rFonts w:ascii="Consolas" w:eastAsia="MingLiU" w:hAnsi="Consolas" w:cs="Consolas"/>
          <w:b/>
          <w:bCs/>
          <w:color w:val="000000"/>
          <w:sz w:val="20"/>
          <w:szCs w:val="20"/>
          <w:lang w:val="pt"/>
        </w:rPr>
        <w:t>:</w:t>
      </w:r>
    </w:p>
    <w:p w:rsidR="001E0879" w:rsidRPr="00796A1B" w:rsidRDefault="001E0879" w:rsidP="00D064E1">
      <w:pPr>
        <w:pStyle w:val="PargrafodaLista"/>
        <w:spacing w:after="120" w:line="288" w:lineRule="auto"/>
        <w:ind w:left="0"/>
        <w:contextualSpacing w:val="0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>
        <w:rPr>
          <w:rFonts w:ascii="Consolas" w:eastAsia="MingLiU" w:hAnsi="Consolas" w:cs="Consolas"/>
          <w:color w:val="000000"/>
          <w:sz w:val="20"/>
          <w:szCs w:val="20"/>
          <w:lang w:val="pt"/>
        </w:rPr>
        <w:t>À interessada</w:t>
      </w:r>
      <w:r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 xml:space="preserve"> para ciência do procedimento adotado, encaminhando a íntegra deste despacho ao e-mail que utilizaram para apresentar as impugnações.</w:t>
      </w:r>
    </w:p>
    <w:p w:rsidR="00D064E1" w:rsidRDefault="00D064E1" w:rsidP="00D064E1">
      <w:pPr>
        <w:spacing w:after="120" w:line="288" w:lineRule="auto"/>
        <w:jc w:val="both"/>
        <w:rPr>
          <w:rFonts w:ascii="Consolas" w:eastAsia="MingLiU" w:hAnsi="Consolas" w:cs="Consolas"/>
          <w:b/>
          <w:color w:val="000000"/>
          <w:sz w:val="20"/>
          <w:szCs w:val="20"/>
          <w:lang w:val="pt"/>
        </w:rPr>
      </w:pPr>
    </w:p>
    <w:p w:rsidR="001E0879" w:rsidRDefault="001E0879" w:rsidP="00D064E1">
      <w:pPr>
        <w:spacing w:after="120" w:line="288" w:lineRule="auto"/>
        <w:jc w:val="both"/>
        <w:rPr>
          <w:rFonts w:ascii="Consolas" w:eastAsia="MingLiU" w:hAnsi="Consolas" w:cs="Consolas"/>
          <w:b/>
          <w:color w:val="000000"/>
          <w:sz w:val="20"/>
          <w:szCs w:val="20"/>
          <w:lang w:val="pt"/>
        </w:rPr>
      </w:pPr>
      <w:r>
        <w:rPr>
          <w:rFonts w:ascii="Consolas" w:eastAsia="MingLiU" w:hAnsi="Consolas" w:cs="Consolas"/>
          <w:b/>
          <w:color w:val="000000"/>
          <w:sz w:val="20"/>
          <w:szCs w:val="20"/>
          <w:lang w:val="pt"/>
        </w:rPr>
        <w:t>Publique-se:</w:t>
      </w:r>
    </w:p>
    <w:p w:rsidR="001E0879" w:rsidRPr="00796A1B" w:rsidRDefault="001E0879" w:rsidP="00D064E1">
      <w:pPr>
        <w:pStyle w:val="PargrafodaLista"/>
        <w:spacing w:after="120" w:line="288" w:lineRule="auto"/>
        <w:ind w:left="0"/>
        <w:contextualSpacing w:val="0"/>
        <w:jc w:val="both"/>
        <w:rPr>
          <w:rFonts w:ascii="Consolas" w:eastAsia="MingLiU" w:hAnsi="Consolas" w:cs="Consolas"/>
          <w:color w:val="000000"/>
          <w:sz w:val="20"/>
          <w:szCs w:val="20"/>
          <w:lang w:val="pt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  <w:lang w:val="pt"/>
        </w:rPr>
        <w:t>No jornais utilizados para a publicação do edital e no site da Prefeitura Municipal de Taguaí.</w:t>
      </w:r>
    </w:p>
    <w:p w:rsidR="001E0879" w:rsidRPr="006874D2" w:rsidRDefault="001E0879" w:rsidP="009D2A3A">
      <w:pPr>
        <w:pStyle w:val="PargrafodaLista"/>
        <w:spacing w:after="120" w:line="288" w:lineRule="auto"/>
        <w:ind w:left="0"/>
        <w:contextualSpacing w:val="0"/>
        <w:jc w:val="both"/>
        <w:rPr>
          <w:rFonts w:ascii="Consolas" w:eastAsia="MingLiU" w:hAnsi="Consolas" w:cs="Consolas"/>
          <w:b/>
          <w:color w:val="000000"/>
          <w:sz w:val="20"/>
          <w:szCs w:val="20"/>
        </w:rPr>
      </w:pPr>
    </w:p>
    <w:p w:rsidR="00A42524" w:rsidRPr="00796A1B" w:rsidRDefault="00A42524" w:rsidP="009D2A3A">
      <w:pPr>
        <w:spacing w:after="0" w:line="288" w:lineRule="auto"/>
        <w:ind w:firstLine="1701"/>
        <w:jc w:val="right"/>
        <w:rPr>
          <w:rFonts w:ascii="Consolas" w:eastAsia="MingLiU" w:hAnsi="Consolas" w:cs="Consolas"/>
          <w:color w:val="000000"/>
          <w:sz w:val="20"/>
          <w:szCs w:val="20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</w:rPr>
        <w:t xml:space="preserve">Taguaí-SP, </w:t>
      </w:r>
      <w:r w:rsidR="00025B9C">
        <w:rPr>
          <w:rFonts w:ascii="Consolas" w:eastAsia="MingLiU" w:hAnsi="Consolas" w:cs="Consolas"/>
          <w:color w:val="000000"/>
          <w:sz w:val="20"/>
          <w:szCs w:val="20"/>
        </w:rPr>
        <w:t>06</w:t>
      </w:r>
      <w:r w:rsidR="009D2A3A">
        <w:rPr>
          <w:rFonts w:ascii="Consolas" w:eastAsia="MingLiU" w:hAnsi="Consolas" w:cs="Consolas"/>
          <w:color w:val="000000"/>
          <w:sz w:val="20"/>
          <w:szCs w:val="20"/>
        </w:rPr>
        <w:t xml:space="preserve"> de </w:t>
      </w:r>
      <w:r w:rsidR="008F3038">
        <w:rPr>
          <w:rFonts w:ascii="Consolas" w:eastAsia="MingLiU" w:hAnsi="Consolas" w:cs="Consolas"/>
          <w:color w:val="000000"/>
          <w:sz w:val="20"/>
          <w:szCs w:val="20"/>
        </w:rPr>
        <w:t>fevereir</w:t>
      </w:r>
      <w:r w:rsidR="009D2A3A">
        <w:rPr>
          <w:rFonts w:ascii="Consolas" w:eastAsia="MingLiU" w:hAnsi="Consolas" w:cs="Consolas"/>
          <w:color w:val="000000"/>
          <w:sz w:val="20"/>
          <w:szCs w:val="20"/>
        </w:rPr>
        <w:t>o de 2024</w:t>
      </w:r>
      <w:r w:rsidR="00FB4660" w:rsidRPr="00796A1B">
        <w:rPr>
          <w:rFonts w:ascii="Consolas" w:eastAsia="MingLiU" w:hAnsi="Consolas" w:cs="Consolas"/>
          <w:color w:val="000000"/>
          <w:sz w:val="20"/>
          <w:szCs w:val="20"/>
        </w:rPr>
        <w:t>.</w:t>
      </w:r>
    </w:p>
    <w:p w:rsidR="00BB3108" w:rsidRPr="00796A1B" w:rsidRDefault="00BB3108" w:rsidP="009D2A3A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</w:p>
    <w:p w:rsidR="001E0879" w:rsidRPr="00796A1B" w:rsidRDefault="001E0879" w:rsidP="009D2A3A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</w:p>
    <w:p w:rsidR="006F5117" w:rsidRPr="00796A1B" w:rsidRDefault="000253D8" w:rsidP="009D2A3A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  <w:r>
        <w:rPr>
          <w:rFonts w:ascii="Consolas" w:eastAsia="MingLiU" w:hAnsi="Consolas" w:cs="Consolas"/>
          <w:color w:val="000000"/>
          <w:sz w:val="20"/>
          <w:szCs w:val="20"/>
        </w:rPr>
        <w:t>AMANDA DE LIMA MELO</w:t>
      </w:r>
    </w:p>
    <w:p w:rsidR="000253D8" w:rsidRDefault="00883526" w:rsidP="009D2A3A">
      <w:pPr>
        <w:spacing w:after="0" w:line="288" w:lineRule="auto"/>
        <w:ind w:firstLine="1701"/>
        <w:jc w:val="both"/>
        <w:rPr>
          <w:rFonts w:ascii="Consolas" w:eastAsia="MingLiU" w:hAnsi="Consolas" w:cs="Consolas"/>
          <w:color w:val="000000"/>
          <w:sz w:val="20"/>
          <w:szCs w:val="20"/>
        </w:rPr>
      </w:pPr>
      <w:r w:rsidRPr="00796A1B">
        <w:rPr>
          <w:rFonts w:ascii="Consolas" w:eastAsia="MingLiU" w:hAnsi="Consolas" w:cs="Consolas"/>
          <w:color w:val="000000"/>
          <w:sz w:val="20"/>
          <w:szCs w:val="20"/>
        </w:rPr>
        <w:t>Pregoeira</w:t>
      </w:r>
    </w:p>
    <w:sectPr w:rsidR="000253D8" w:rsidSect="00D064E1">
      <w:headerReference w:type="default" r:id="rId8"/>
      <w:footerReference w:type="default" r:id="rId9"/>
      <w:pgSz w:w="11906" w:h="16838" w:code="9"/>
      <w:pgMar w:top="141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F5" w:rsidRDefault="002829F5" w:rsidP="0043777C">
      <w:pPr>
        <w:spacing w:after="0" w:line="240" w:lineRule="auto"/>
      </w:pPr>
      <w:r>
        <w:separator/>
      </w:r>
    </w:p>
  </w:endnote>
  <w:endnote w:type="continuationSeparator" w:id="0">
    <w:p w:rsidR="002829F5" w:rsidRDefault="002829F5" w:rsidP="0043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197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4345" w:rsidRDefault="00B1434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777C" w:rsidRDefault="004377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F5" w:rsidRDefault="002829F5" w:rsidP="0043777C">
      <w:pPr>
        <w:spacing w:after="0" w:line="240" w:lineRule="auto"/>
      </w:pPr>
      <w:r>
        <w:separator/>
      </w:r>
    </w:p>
  </w:footnote>
  <w:footnote w:type="continuationSeparator" w:id="0">
    <w:p w:rsidR="002829F5" w:rsidRDefault="002829F5" w:rsidP="0043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7" w:type="dxa"/>
      <w:tblInd w:w="-1701" w:type="dxa"/>
      <w:tblLayout w:type="fixed"/>
      <w:tblLook w:val="0000" w:firstRow="0" w:lastRow="0" w:firstColumn="0" w:lastColumn="0" w:noHBand="0" w:noVBand="0"/>
    </w:tblPr>
    <w:tblGrid>
      <w:gridCol w:w="4155"/>
      <w:gridCol w:w="7752"/>
    </w:tblGrid>
    <w:tr w:rsidR="0043777C" w:rsidRPr="00652264" w:rsidTr="00796A1B">
      <w:tc>
        <w:tcPr>
          <w:tcW w:w="4155" w:type="dxa"/>
        </w:tcPr>
        <w:p w:rsidR="0043777C" w:rsidRPr="00652264" w:rsidRDefault="0043777C" w:rsidP="00493670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7752" w:type="dxa"/>
        </w:tcPr>
        <w:p w:rsidR="0043777C" w:rsidRPr="00652264" w:rsidRDefault="0043777C" w:rsidP="00493670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796A1B" w:rsidRDefault="00796A1B" w:rsidP="00796A1B">
    <w:pPr>
      <w:pStyle w:val="Cabealho"/>
      <w:jc w:val="both"/>
    </w:pPr>
    <w:r>
      <w:rPr>
        <w:rFonts w:ascii="Arial" w:eastAsia="Arial" w:hAnsi="Arial" w:cs="Arial"/>
        <w:noProof/>
        <w:sz w:val="20"/>
        <w:szCs w:val="20"/>
      </w:rPr>
      <w:t xml:space="preserve">                                                               </w:t>
    </w:r>
    <w:r w:rsidRPr="00652264">
      <w:rPr>
        <w:rFonts w:ascii="Arial" w:eastAsia="Arial" w:hAnsi="Arial" w:cs="Arial"/>
        <w:noProof/>
        <w:sz w:val="20"/>
        <w:szCs w:val="20"/>
        <w:lang w:eastAsia="pt-BR"/>
      </w:rPr>
      <w:drawing>
        <wp:inline distT="0" distB="0" distL="0" distR="0" wp14:anchorId="69DC4960" wp14:editId="42F7E468">
          <wp:extent cx="602165" cy="670294"/>
          <wp:effectExtent l="0" t="0" r="7620" b="0"/>
          <wp:docPr id="2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924" cy="67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6A1B" w:rsidRPr="006736C5" w:rsidRDefault="00796A1B" w:rsidP="00796A1B">
    <w:pPr>
      <w:widowControl w:val="0"/>
      <w:tabs>
        <w:tab w:val="center" w:pos="4419"/>
        <w:tab w:val="right" w:pos="8838"/>
      </w:tabs>
      <w:spacing w:after="0" w:line="240" w:lineRule="auto"/>
      <w:rPr>
        <w:rFonts w:ascii="Gadugi" w:eastAsia="Arial" w:hAnsi="Gadugi" w:cs="Arial"/>
        <w:sz w:val="52"/>
        <w:szCs w:val="40"/>
      </w:rPr>
    </w:pPr>
    <w:r>
      <w:rPr>
        <w:rFonts w:ascii="Gadugi" w:eastAsia="Bookman Old Style" w:hAnsi="Gadugi" w:cs="Arial"/>
        <w:b/>
        <w:color w:val="0000FF"/>
        <w:sz w:val="52"/>
        <w:szCs w:val="40"/>
      </w:rPr>
      <w:t xml:space="preserve">         </w:t>
    </w:r>
    <w:r w:rsidRPr="006736C5">
      <w:rPr>
        <w:rFonts w:ascii="Gadugi" w:eastAsia="Bookman Old Style" w:hAnsi="Gadugi" w:cs="Arial"/>
        <w:b/>
        <w:color w:val="0000FF"/>
        <w:sz w:val="52"/>
        <w:szCs w:val="40"/>
      </w:rPr>
      <w:t>MUNICÍPIO DE TAGUAÍ</w:t>
    </w:r>
  </w:p>
  <w:p w:rsidR="00796A1B" w:rsidRDefault="00796A1B" w:rsidP="00796A1B">
    <w:pPr>
      <w:widowControl w:val="0"/>
      <w:tabs>
        <w:tab w:val="center" w:pos="4419"/>
        <w:tab w:val="right" w:pos="8838"/>
      </w:tabs>
      <w:spacing w:after="0" w:line="240" w:lineRule="auto"/>
      <w:rPr>
        <w:rFonts w:ascii="Old English Text MT" w:eastAsia="Bookman Old Style" w:hAnsi="Old English Text MT" w:cs="Arial"/>
        <w:i/>
        <w:color w:val="0000FF"/>
      </w:rPr>
    </w:pPr>
    <w:r>
      <w:rPr>
        <w:rFonts w:ascii="Old English Text MT" w:eastAsia="Bookman Old Style" w:hAnsi="Old English Text MT" w:cs="Arial"/>
        <w:i/>
        <w:color w:val="0000FF"/>
      </w:rPr>
      <w:t xml:space="preserve">                                            </w:t>
    </w:r>
    <w:r w:rsidRPr="00666573">
      <w:rPr>
        <w:rFonts w:ascii="Old English Text MT" w:eastAsia="Bookman Old Style" w:hAnsi="Old English Text MT" w:cs="Arial"/>
        <w:i/>
        <w:color w:val="0000FF"/>
      </w:rPr>
      <w:t>Taguaí: Capital das Confecções.</w:t>
    </w:r>
  </w:p>
  <w:p w:rsidR="0043777C" w:rsidRDefault="004377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703"/>
    <w:multiLevelType w:val="hybridMultilevel"/>
    <w:tmpl w:val="001CA81A"/>
    <w:lvl w:ilvl="0" w:tplc="1CD0992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21E3AA5"/>
    <w:multiLevelType w:val="hybridMultilevel"/>
    <w:tmpl w:val="AAC283DE"/>
    <w:lvl w:ilvl="0" w:tplc="A768E31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6C40694"/>
    <w:multiLevelType w:val="hybridMultilevel"/>
    <w:tmpl w:val="B400F326"/>
    <w:lvl w:ilvl="0" w:tplc="BE985C1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9602900"/>
    <w:multiLevelType w:val="hybridMultilevel"/>
    <w:tmpl w:val="51CEB3BA"/>
    <w:lvl w:ilvl="0" w:tplc="CA3E1F4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84F0C14"/>
    <w:multiLevelType w:val="hybridMultilevel"/>
    <w:tmpl w:val="2B2454E8"/>
    <w:lvl w:ilvl="0" w:tplc="DA78F14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294A2A6E"/>
    <w:multiLevelType w:val="hybridMultilevel"/>
    <w:tmpl w:val="D06C7FF2"/>
    <w:lvl w:ilvl="0" w:tplc="72DCF28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95611E3"/>
    <w:multiLevelType w:val="hybridMultilevel"/>
    <w:tmpl w:val="7108BFDA"/>
    <w:lvl w:ilvl="0" w:tplc="903CE86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4E2A6269"/>
    <w:multiLevelType w:val="hybridMultilevel"/>
    <w:tmpl w:val="EE6AF204"/>
    <w:lvl w:ilvl="0" w:tplc="D01ECD6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A3C1352"/>
    <w:multiLevelType w:val="hybridMultilevel"/>
    <w:tmpl w:val="31503572"/>
    <w:lvl w:ilvl="0" w:tplc="CBC60E4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2F"/>
    <w:rsid w:val="000253D8"/>
    <w:rsid w:val="00025B9C"/>
    <w:rsid w:val="0004267A"/>
    <w:rsid w:val="0004545F"/>
    <w:rsid w:val="00063E44"/>
    <w:rsid w:val="000642E6"/>
    <w:rsid w:val="00067B31"/>
    <w:rsid w:val="00071ECE"/>
    <w:rsid w:val="00077A37"/>
    <w:rsid w:val="00091085"/>
    <w:rsid w:val="000B7063"/>
    <w:rsid w:val="000C3728"/>
    <w:rsid w:val="000C3D63"/>
    <w:rsid w:val="000E129C"/>
    <w:rsid w:val="001015B7"/>
    <w:rsid w:val="0010267D"/>
    <w:rsid w:val="00112FE9"/>
    <w:rsid w:val="00115367"/>
    <w:rsid w:val="00117177"/>
    <w:rsid w:val="00141D07"/>
    <w:rsid w:val="00141F0F"/>
    <w:rsid w:val="001524CD"/>
    <w:rsid w:val="001565C0"/>
    <w:rsid w:val="001616CD"/>
    <w:rsid w:val="001617B7"/>
    <w:rsid w:val="00164979"/>
    <w:rsid w:val="00173BFD"/>
    <w:rsid w:val="001C76C5"/>
    <w:rsid w:val="001D21C3"/>
    <w:rsid w:val="001E0879"/>
    <w:rsid w:val="001E2E5D"/>
    <w:rsid w:val="001E68B4"/>
    <w:rsid w:val="001F3E7B"/>
    <w:rsid w:val="001F53AD"/>
    <w:rsid w:val="002134AF"/>
    <w:rsid w:val="0022560D"/>
    <w:rsid w:val="00226E84"/>
    <w:rsid w:val="00241B40"/>
    <w:rsid w:val="00247D7B"/>
    <w:rsid w:val="002829F5"/>
    <w:rsid w:val="002860C7"/>
    <w:rsid w:val="00291B2E"/>
    <w:rsid w:val="0029368B"/>
    <w:rsid w:val="002A0A99"/>
    <w:rsid w:val="002A3457"/>
    <w:rsid w:val="002A5141"/>
    <w:rsid w:val="002B3A61"/>
    <w:rsid w:val="002B5048"/>
    <w:rsid w:val="002D2669"/>
    <w:rsid w:val="002D341B"/>
    <w:rsid w:val="002E0EF6"/>
    <w:rsid w:val="002F3081"/>
    <w:rsid w:val="00304E11"/>
    <w:rsid w:val="003541D7"/>
    <w:rsid w:val="0038110F"/>
    <w:rsid w:val="00390CBA"/>
    <w:rsid w:val="003A0EB9"/>
    <w:rsid w:val="003A4771"/>
    <w:rsid w:val="003B078D"/>
    <w:rsid w:val="003C35D4"/>
    <w:rsid w:val="003D0BC5"/>
    <w:rsid w:val="003D505F"/>
    <w:rsid w:val="003F153E"/>
    <w:rsid w:val="00402D85"/>
    <w:rsid w:val="004157DD"/>
    <w:rsid w:val="004306BE"/>
    <w:rsid w:val="0043777C"/>
    <w:rsid w:val="004402D2"/>
    <w:rsid w:val="00446841"/>
    <w:rsid w:val="004609AC"/>
    <w:rsid w:val="0046123E"/>
    <w:rsid w:val="0047372F"/>
    <w:rsid w:val="004837C2"/>
    <w:rsid w:val="0048548D"/>
    <w:rsid w:val="004936F7"/>
    <w:rsid w:val="004A7332"/>
    <w:rsid w:val="004B21BE"/>
    <w:rsid w:val="004C014E"/>
    <w:rsid w:val="004C74D4"/>
    <w:rsid w:val="004D0D11"/>
    <w:rsid w:val="00504EBA"/>
    <w:rsid w:val="005425C4"/>
    <w:rsid w:val="005515AE"/>
    <w:rsid w:val="0055231D"/>
    <w:rsid w:val="005540FB"/>
    <w:rsid w:val="005609EE"/>
    <w:rsid w:val="00576F09"/>
    <w:rsid w:val="005773B5"/>
    <w:rsid w:val="005C7680"/>
    <w:rsid w:val="005F4446"/>
    <w:rsid w:val="00602452"/>
    <w:rsid w:val="006053FC"/>
    <w:rsid w:val="006306A8"/>
    <w:rsid w:val="006444E5"/>
    <w:rsid w:val="00675473"/>
    <w:rsid w:val="006874D2"/>
    <w:rsid w:val="006E4F95"/>
    <w:rsid w:val="006F5117"/>
    <w:rsid w:val="007014FE"/>
    <w:rsid w:val="00703439"/>
    <w:rsid w:val="0070349B"/>
    <w:rsid w:val="007034E3"/>
    <w:rsid w:val="00721B9A"/>
    <w:rsid w:val="007324D0"/>
    <w:rsid w:val="00752561"/>
    <w:rsid w:val="00777F51"/>
    <w:rsid w:val="00796A1B"/>
    <w:rsid w:val="007A3A7D"/>
    <w:rsid w:val="007A47F1"/>
    <w:rsid w:val="007B2637"/>
    <w:rsid w:val="007B7F8F"/>
    <w:rsid w:val="007E146A"/>
    <w:rsid w:val="007E63ED"/>
    <w:rsid w:val="007E7F21"/>
    <w:rsid w:val="007F30BC"/>
    <w:rsid w:val="007F5F8F"/>
    <w:rsid w:val="00831A76"/>
    <w:rsid w:val="00873492"/>
    <w:rsid w:val="008832E7"/>
    <w:rsid w:val="00883526"/>
    <w:rsid w:val="0089235D"/>
    <w:rsid w:val="008B3A6D"/>
    <w:rsid w:val="008B6D95"/>
    <w:rsid w:val="008C44D0"/>
    <w:rsid w:val="008E7ACD"/>
    <w:rsid w:val="008F11F7"/>
    <w:rsid w:val="008F3038"/>
    <w:rsid w:val="008F4163"/>
    <w:rsid w:val="008F7B34"/>
    <w:rsid w:val="00911C56"/>
    <w:rsid w:val="0091662A"/>
    <w:rsid w:val="00924984"/>
    <w:rsid w:val="009517C7"/>
    <w:rsid w:val="00960C90"/>
    <w:rsid w:val="00961095"/>
    <w:rsid w:val="00965C26"/>
    <w:rsid w:val="00997E69"/>
    <w:rsid w:val="009A02E1"/>
    <w:rsid w:val="009D1913"/>
    <w:rsid w:val="009D2A3A"/>
    <w:rsid w:val="009E525C"/>
    <w:rsid w:val="009F44F4"/>
    <w:rsid w:val="009F57A4"/>
    <w:rsid w:val="009F60AB"/>
    <w:rsid w:val="00A03606"/>
    <w:rsid w:val="00A42524"/>
    <w:rsid w:val="00A85775"/>
    <w:rsid w:val="00A92866"/>
    <w:rsid w:val="00A96074"/>
    <w:rsid w:val="00AA7C89"/>
    <w:rsid w:val="00AB5AC9"/>
    <w:rsid w:val="00AD38CC"/>
    <w:rsid w:val="00AD3B20"/>
    <w:rsid w:val="00AF7B65"/>
    <w:rsid w:val="00B14345"/>
    <w:rsid w:val="00B20761"/>
    <w:rsid w:val="00B51AA8"/>
    <w:rsid w:val="00B72866"/>
    <w:rsid w:val="00B77DF5"/>
    <w:rsid w:val="00BA6E85"/>
    <w:rsid w:val="00BB2BC5"/>
    <w:rsid w:val="00BB3108"/>
    <w:rsid w:val="00BC5541"/>
    <w:rsid w:val="00BD29AB"/>
    <w:rsid w:val="00BE273D"/>
    <w:rsid w:val="00BE3297"/>
    <w:rsid w:val="00C321EE"/>
    <w:rsid w:val="00C63241"/>
    <w:rsid w:val="00C8585F"/>
    <w:rsid w:val="00CA7B19"/>
    <w:rsid w:val="00CB1D1C"/>
    <w:rsid w:val="00CC4CDA"/>
    <w:rsid w:val="00CD7655"/>
    <w:rsid w:val="00CE44CA"/>
    <w:rsid w:val="00CF52C0"/>
    <w:rsid w:val="00D01F2B"/>
    <w:rsid w:val="00D064E1"/>
    <w:rsid w:val="00D130B4"/>
    <w:rsid w:val="00D22563"/>
    <w:rsid w:val="00D23B27"/>
    <w:rsid w:val="00D469A8"/>
    <w:rsid w:val="00D574AA"/>
    <w:rsid w:val="00D669A4"/>
    <w:rsid w:val="00D7035D"/>
    <w:rsid w:val="00D82D9C"/>
    <w:rsid w:val="00D84D37"/>
    <w:rsid w:val="00D87D94"/>
    <w:rsid w:val="00D92207"/>
    <w:rsid w:val="00DA41F7"/>
    <w:rsid w:val="00DD5CE4"/>
    <w:rsid w:val="00DE2B13"/>
    <w:rsid w:val="00DE4877"/>
    <w:rsid w:val="00DE5EA5"/>
    <w:rsid w:val="00DE7572"/>
    <w:rsid w:val="00E0254D"/>
    <w:rsid w:val="00E078BE"/>
    <w:rsid w:val="00E332F7"/>
    <w:rsid w:val="00E764A5"/>
    <w:rsid w:val="00E94337"/>
    <w:rsid w:val="00EA54CB"/>
    <w:rsid w:val="00EB23BE"/>
    <w:rsid w:val="00EC37DD"/>
    <w:rsid w:val="00ED1499"/>
    <w:rsid w:val="00EF0210"/>
    <w:rsid w:val="00F02DCE"/>
    <w:rsid w:val="00F246D5"/>
    <w:rsid w:val="00F41554"/>
    <w:rsid w:val="00F7252E"/>
    <w:rsid w:val="00FB4660"/>
    <w:rsid w:val="00FC36D2"/>
    <w:rsid w:val="00FD00FB"/>
    <w:rsid w:val="00FE4CBF"/>
    <w:rsid w:val="00FF2E4E"/>
    <w:rsid w:val="00FF359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E493AF-F074-4E15-879D-D72450A2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1D"/>
  </w:style>
  <w:style w:type="paragraph" w:styleId="Ttulo2">
    <w:name w:val="heading 2"/>
    <w:basedOn w:val="Normal"/>
    <w:link w:val="Ttulo2Char"/>
    <w:uiPriority w:val="9"/>
    <w:qFormat/>
    <w:rsid w:val="004A7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CE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4CA"/>
    <w:rPr>
      <w:b/>
      <w:bCs/>
    </w:rPr>
  </w:style>
  <w:style w:type="character" w:styleId="Hyperlink">
    <w:name w:val="Hyperlink"/>
    <w:basedOn w:val="Fontepargpadro"/>
    <w:uiPriority w:val="99"/>
    <w:unhideWhenUsed/>
    <w:rsid w:val="00CE44C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77C"/>
  </w:style>
  <w:style w:type="paragraph" w:styleId="Rodap">
    <w:name w:val="footer"/>
    <w:basedOn w:val="Normal"/>
    <w:link w:val="RodapChar"/>
    <w:uiPriority w:val="99"/>
    <w:unhideWhenUsed/>
    <w:rsid w:val="0043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77C"/>
  </w:style>
  <w:style w:type="paragraph" w:styleId="Textodebalo">
    <w:name w:val="Balloon Text"/>
    <w:basedOn w:val="Normal"/>
    <w:link w:val="TextodebaloChar"/>
    <w:uiPriority w:val="99"/>
    <w:semiHidden/>
    <w:unhideWhenUsed/>
    <w:rsid w:val="0043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7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51AA8"/>
  </w:style>
  <w:style w:type="paragraph" w:styleId="PargrafodaLista">
    <w:name w:val="List Paragraph"/>
    <w:basedOn w:val="Normal"/>
    <w:uiPriority w:val="34"/>
    <w:qFormat/>
    <w:rsid w:val="00071E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A733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ED85-5B11-475E-AA62-B2DAF267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2024-02-02T13:02:00Z</cp:lastPrinted>
  <dcterms:created xsi:type="dcterms:W3CDTF">2024-02-06T16:39:00Z</dcterms:created>
  <dcterms:modified xsi:type="dcterms:W3CDTF">2024-02-06T16:45:00Z</dcterms:modified>
</cp:coreProperties>
</file>